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B3EE0" w14:textId="01FAA76E" w:rsidR="00905E31" w:rsidRDefault="00E2445F">
      <w:pPr>
        <w:spacing w:after="0" w:line="259" w:lineRule="auto"/>
        <w:ind w:left="0" w:firstLine="0"/>
      </w:pPr>
      <w:r>
        <w:rPr>
          <w:rFonts w:ascii="Calibri" w:eastAsia="Calibri" w:hAnsi="Calibri" w:cs="Calibri"/>
          <w:sz w:val="22"/>
        </w:rPr>
        <w:t xml:space="preserve"> </w:t>
      </w:r>
      <w:r>
        <w:rPr>
          <w:noProof/>
        </w:rPr>
        <w:drawing>
          <wp:inline distT="0" distB="0" distL="0" distR="0" wp14:anchorId="61F1BE7D" wp14:editId="1225A54B">
            <wp:extent cx="1181100" cy="876300"/>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5"/>
                    <a:stretch>
                      <a:fillRect/>
                    </a:stretch>
                  </pic:blipFill>
                  <pic:spPr>
                    <a:xfrm>
                      <a:off x="0" y="0"/>
                      <a:ext cx="1181100" cy="876300"/>
                    </a:xfrm>
                    <a:prstGeom prst="rect">
                      <a:avLst/>
                    </a:prstGeom>
                  </pic:spPr>
                </pic:pic>
              </a:graphicData>
            </a:graphic>
          </wp:inline>
        </w:drawing>
      </w:r>
      <w:r>
        <w:rPr>
          <w:rFonts w:ascii="Calibri" w:eastAsia="Calibri" w:hAnsi="Calibri" w:cs="Calibri"/>
          <w:sz w:val="22"/>
        </w:rPr>
        <w:t xml:space="preserve"> </w:t>
      </w:r>
    </w:p>
    <w:p w14:paraId="4357E1EE" w14:textId="77777777" w:rsidR="00905E31" w:rsidRDefault="00E2445F">
      <w:pPr>
        <w:spacing w:after="0" w:line="247" w:lineRule="auto"/>
        <w:ind w:left="-5" w:right="6505"/>
      </w:pPr>
      <w:r>
        <w:rPr>
          <w:rFonts w:ascii="Calibri" w:eastAsia="Calibri" w:hAnsi="Calibri" w:cs="Calibri"/>
          <w:sz w:val="22"/>
        </w:rPr>
        <w:t xml:space="preserve">Housing Authority </w:t>
      </w:r>
      <w:r>
        <w:rPr>
          <w:rFonts w:ascii="Calibri" w:eastAsia="Calibri" w:hAnsi="Calibri" w:cs="Calibri"/>
          <w:sz w:val="18"/>
        </w:rPr>
        <w:t>of the</w:t>
      </w:r>
      <w:r>
        <w:rPr>
          <w:rFonts w:ascii="Calibri" w:eastAsia="Calibri" w:hAnsi="Calibri" w:cs="Calibri"/>
          <w:sz w:val="22"/>
        </w:rPr>
        <w:t xml:space="preserve"> </w:t>
      </w:r>
    </w:p>
    <w:p w14:paraId="1D83370A" w14:textId="77777777" w:rsidR="00905E31" w:rsidRDefault="00E2445F">
      <w:pPr>
        <w:spacing w:after="0" w:line="247" w:lineRule="auto"/>
        <w:ind w:left="-5" w:right="6505"/>
      </w:pPr>
      <w:r>
        <w:rPr>
          <w:rFonts w:ascii="Calibri" w:eastAsia="Calibri" w:hAnsi="Calibri" w:cs="Calibri"/>
          <w:sz w:val="22"/>
        </w:rPr>
        <w:t xml:space="preserve">City of South Milwaukee </w:t>
      </w:r>
      <w:r>
        <w:rPr>
          <w:rFonts w:ascii="Calibri" w:eastAsia="Calibri" w:hAnsi="Calibri" w:cs="Calibri"/>
          <w:b/>
          <w:i/>
          <w:color w:val="0070C0"/>
          <w:sz w:val="22"/>
        </w:rPr>
        <w:t>d/b/a</w:t>
      </w:r>
      <w:r>
        <w:rPr>
          <w:rFonts w:ascii="Calibri" w:eastAsia="Calibri" w:hAnsi="Calibri" w:cs="Calibri"/>
          <w:b/>
          <w:color w:val="0070C0"/>
        </w:rPr>
        <w:t xml:space="preserve"> </w:t>
      </w:r>
      <w:proofErr w:type="spellStart"/>
      <w:r>
        <w:rPr>
          <w:rFonts w:ascii="Calibri" w:eastAsia="Calibri" w:hAnsi="Calibri" w:cs="Calibri"/>
          <w:b/>
          <w:i/>
          <w:color w:val="0070C0"/>
          <w:sz w:val="28"/>
        </w:rPr>
        <w:t>Parkcrest</w:t>
      </w:r>
      <w:proofErr w:type="spellEnd"/>
      <w:r>
        <w:rPr>
          <w:rFonts w:ascii="Calibri" w:eastAsia="Calibri" w:hAnsi="Calibri" w:cs="Calibri"/>
          <w:b/>
          <w:i/>
          <w:color w:val="0070C0"/>
          <w:sz w:val="28"/>
        </w:rPr>
        <w:t xml:space="preserve"> Housing</w:t>
      </w:r>
      <w:r>
        <w:rPr>
          <w:rFonts w:ascii="Calibri" w:eastAsia="Calibri" w:hAnsi="Calibri" w:cs="Calibri"/>
          <w:b/>
          <w:color w:val="0070C0"/>
        </w:rPr>
        <w:t xml:space="preserve"> </w:t>
      </w:r>
    </w:p>
    <w:p w14:paraId="4DE32A5D" w14:textId="77777777" w:rsidR="00905E31" w:rsidRDefault="00E2445F">
      <w:pPr>
        <w:spacing w:after="0" w:line="259" w:lineRule="auto"/>
        <w:ind w:left="0" w:firstLine="0"/>
      </w:pPr>
      <w:r>
        <w:rPr>
          <w:rFonts w:ascii="Calibri" w:eastAsia="Calibri" w:hAnsi="Calibri" w:cs="Calibri"/>
          <w:sz w:val="22"/>
        </w:rPr>
        <w:t xml:space="preserve"> </w:t>
      </w:r>
    </w:p>
    <w:p w14:paraId="1EDD0050" w14:textId="1CD80961" w:rsidR="00905E31" w:rsidRDefault="00805E68">
      <w:pPr>
        <w:ind w:left="-5"/>
      </w:pPr>
      <w:r>
        <w:t>September 22, 2024</w:t>
      </w:r>
      <w:r w:rsidR="00E2445F">
        <w:t xml:space="preserve"> </w:t>
      </w:r>
    </w:p>
    <w:p w14:paraId="1F61BE54" w14:textId="77777777" w:rsidR="00905E31" w:rsidRDefault="00E2445F">
      <w:pPr>
        <w:spacing w:after="0" w:line="259" w:lineRule="auto"/>
        <w:ind w:left="0" w:firstLine="0"/>
      </w:pPr>
      <w:r>
        <w:t xml:space="preserve"> </w:t>
      </w:r>
    </w:p>
    <w:p w14:paraId="03CF5803" w14:textId="77777777" w:rsidR="00905E31" w:rsidRDefault="00E2445F">
      <w:pPr>
        <w:spacing w:after="0" w:line="259" w:lineRule="auto"/>
        <w:ind w:left="-5"/>
      </w:pPr>
      <w:r>
        <w:rPr>
          <w:b/>
        </w:rPr>
        <w:t xml:space="preserve">To:  </w:t>
      </w:r>
      <w:proofErr w:type="spellStart"/>
      <w:r>
        <w:rPr>
          <w:b/>
        </w:rPr>
        <w:t>Parkcrest</w:t>
      </w:r>
      <w:proofErr w:type="spellEnd"/>
      <w:r>
        <w:rPr>
          <w:b/>
        </w:rPr>
        <w:t xml:space="preserve"> Housing Tenants </w:t>
      </w:r>
    </w:p>
    <w:p w14:paraId="4470271C" w14:textId="77777777" w:rsidR="00905E31" w:rsidRDefault="00E2445F">
      <w:pPr>
        <w:spacing w:after="0" w:line="259" w:lineRule="auto"/>
        <w:ind w:left="-5"/>
      </w:pPr>
      <w:r>
        <w:rPr>
          <w:b/>
        </w:rPr>
        <w:t xml:space="preserve">Re:  Notice of Flat Rent Adjustments  </w:t>
      </w:r>
    </w:p>
    <w:p w14:paraId="1D99239B" w14:textId="77777777" w:rsidR="00905E31" w:rsidRDefault="00E2445F">
      <w:pPr>
        <w:spacing w:after="0" w:line="259" w:lineRule="auto"/>
        <w:ind w:left="0" w:firstLine="0"/>
      </w:pPr>
      <w:r>
        <w:t xml:space="preserve"> </w:t>
      </w:r>
    </w:p>
    <w:p w14:paraId="16F7C143" w14:textId="12DFE76D" w:rsidR="00905E31" w:rsidRDefault="00E2445F">
      <w:pPr>
        <w:ind w:left="-5"/>
      </w:pPr>
      <w:proofErr w:type="spellStart"/>
      <w:r>
        <w:t>Parkcrest</w:t>
      </w:r>
      <w:proofErr w:type="spellEnd"/>
      <w:r>
        <w:t xml:space="preserve"> Housing receives subsidy funding from HUD (Housing and Urban Development) and thus we are required to follow HUD rules. The </w:t>
      </w:r>
      <w:r w:rsidR="006F4927">
        <w:t>“</w:t>
      </w:r>
      <w:r>
        <w:t>flat rent</w:t>
      </w:r>
      <w:r w:rsidR="006F4927">
        <w:t>” calculations are</w:t>
      </w:r>
      <w:r>
        <w:t xml:space="preserve"> to be reviewed annually and adjusted according to HUD’s Fair Market Rent determinations. </w:t>
      </w:r>
    </w:p>
    <w:p w14:paraId="39BDD38C" w14:textId="77777777" w:rsidR="00905E31" w:rsidRDefault="00E2445F">
      <w:pPr>
        <w:spacing w:after="0" w:line="259" w:lineRule="auto"/>
        <w:ind w:left="0" w:firstLine="0"/>
      </w:pPr>
      <w:r>
        <w:t xml:space="preserve"> </w:t>
      </w:r>
    </w:p>
    <w:p w14:paraId="42698224" w14:textId="77777777" w:rsidR="00905E31" w:rsidRDefault="00E2445F">
      <w:pPr>
        <w:ind w:left="-5"/>
      </w:pPr>
      <w:r>
        <w:t xml:space="preserve">HUD provided notification of the Consolidated Appropriations Act of 2014 that mandates all Housing Authorities to ensure their flat rent rates are </w:t>
      </w:r>
      <w:r>
        <w:rPr>
          <w:u w:val="single" w:color="000000"/>
        </w:rPr>
        <w:t>not less than</w:t>
      </w:r>
      <w:r>
        <w:rPr>
          <w:b/>
          <w:u w:val="single" w:color="000000"/>
        </w:rPr>
        <w:t xml:space="preserve"> 90%</w:t>
      </w:r>
      <w:r>
        <w:t xml:space="preserve"> of the Fair Market Rent less any utility allowance.  In accordance with the HUD Public Housing Flat Rents rule, Public Housing Agencies are permitted to establish Flat Rent amounts based on the HUD established </w:t>
      </w:r>
    </w:p>
    <w:p w14:paraId="64B28893" w14:textId="77777777" w:rsidR="00905E31" w:rsidRDefault="00E2445F">
      <w:pPr>
        <w:ind w:left="-5"/>
      </w:pPr>
      <w:r>
        <w:t xml:space="preserve">“Small Area Fair Market Rent” (zip code based) when 90% of the applicable FMR does not reflect the market value of a unit.  </w:t>
      </w:r>
    </w:p>
    <w:p w14:paraId="302E6604" w14:textId="77777777" w:rsidR="00905E31" w:rsidRDefault="00E2445F">
      <w:pPr>
        <w:spacing w:after="0" w:line="259" w:lineRule="auto"/>
        <w:ind w:left="0" w:firstLine="0"/>
      </w:pPr>
      <w:r>
        <w:t xml:space="preserve"> </w:t>
      </w:r>
    </w:p>
    <w:p w14:paraId="7F0C6F88" w14:textId="29DEAF59" w:rsidR="00905E31" w:rsidRDefault="00E2445F">
      <w:pPr>
        <w:ind w:left="-5"/>
      </w:pPr>
      <w:r>
        <w:t xml:space="preserve">Residents currently paying flat rent will be given the choice, at their next annual re-certification due on </w:t>
      </w:r>
      <w:r w:rsidRPr="00805E68">
        <w:rPr>
          <w:b/>
          <w:bCs/>
        </w:rPr>
        <w:t xml:space="preserve">January 1, </w:t>
      </w:r>
      <w:r w:rsidR="006F4927" w:rsidRPr="00805E68">
        <w:rPr>
          <w:b/>
          <w:bCs/>
        </w:rPr>
        <w:t>202</w:t>
      </w:r>
      <w:r w:rsidR="00805E68" w:rsidRPr="00805E68">
        <w:rPr>
          <w:b/>
          <w:bCs/>
        </w:rPr>
        <w:t>5</w:t>
      </w:r>
      <w:r w:rsidRPr="00805E68">
        <w:rPr>
          <w:b/>
          <w:bCs/>
        </w:rPr>
        <w:t xml:space="preserve"> or after</w:t>
      </w:r>
      <w:r>
        <w:t xml:space="preserve">, of either switching back to income-based rent or remaining on flat rent at the </w:t>
      </w:r>
      <w:r w:rsidR="00D51F54">
        <w:t>2</w:t>
      </w:r>
      <w:r w:rsidR="00805E68">
        <w:t>025</w:t>
      </w:r>
      <w:r>
        <w:t xml:space="preserve"> rate.  Please feel free to contact the office if you need help determining if you should continue on flat rent or switch to income-based rent. </w:t>
      </w:r>
    </w:p>
    <w:p w14:paraId="1B1FAA92" w14:textId="77777777" w:rsidR="00905E31" w:rsidRDefault="00E2445F">
      <w:pPr>
        <w:spacing w:after="0" w:line="259" w:lineRule="auto"/>
        <w:ind w:left="0" w:firstLine="0"/>
      </w:pPr>
      <w:r>
        <w:t xml:space="preserve"> </w:t>
      </w:r>
    </w:p>
    <w:p w14:paraId="28DF67C0" w14:textId="1A0FF9FD" w:rsidR="00905E31" w:rsidRDefault="00E2445F">
      <w:pPr>
        <w:ind w:left="-5"/>
      </w:pPr>
      <w:r>
        <w:t>The flat rent rates below will take effect on January 1, 2</w:t>
      </w:r>
      <w:r w:rsidR="006F4927">
        <w:t>0</w:t>
      </w:r>
      <w:r w:rsidR="00805E68">
        <w:t>25</w:t>
      </w:r>
      <w:r>
        <w:t xml:space="preserve">. </w:t>
      </w:r>
    </w:p>
    <w:p w14:paraId="1D9BF9E2" w14:textId="77777777" w:rsidR="00905E31" w:rsidRDefault="00E2445F">
      <w:pPr>
        <w:spacing w:after="0" w:line="259" w:lineRule="auto"/>
        <w:ind w:left="0" w:firstLine="0"/>
      </w:pPr>
      <w:r>
        <w:t xml:space="preserve"> </w:t>
      </w:r>
    </w:p>
    <w:p w14:paraId="03CE115F" w14:textId="5D32F4F4" w:rsidR="00905E31" w:rsidRDefault="00E2445F">
      <w:pPr>
        <w:spacing w:after="0" w:line="259" w:lineRule="auto"/>
        <w:ind w:left="0" w:firstLine="0"/>
      </w:pPr>
      <w:r>
        <w:t xml:space="preserve">          </w:t>
      </w:r>
      <w:r>
        <w:rPr>
          <w:b/>
          <w:u w:val="single" w:color="000000"/>
        </w:rPr>
        <w:t>Flat Rent Schedule</w:t>
      </w:r>
      <w:r>
        <w:rPr>
          <w:b/>
        </w:rPr>
        <w:t xml:space="preserve"> </w:t>
      </w:r>
      <w:r>
        <w:t xml:space="preserve">             </w:t>
      </w:r>
      <w:r>
        <w:rPr>
          <w:u w:val="single" w:color="000000"/>
        </w:rPr>
        <w:t>Fair Market Rents 2021 (Milwaukee County-SAFMR)</w:t>
      </w:r>
      <w:r>
        <w:t xml:space="preserve"> </w:t>
      </w:r>
    </w:p>
    <w:p w14:paraId="137D1AD1" w14:textId="1231F94B" w:rsidR="00905E31" w:rsidRDefault="00E2445F">
      <w:pPr>
        <w:numPr>
          <w:ilvl w:val="0"/>
          <w:numId w:val="1"/>
        </w:numPr>
        <w:ind w:hanging="180"/>
      </w:pPr>
      <w:r>
        <w:rPr>
          <w:b/>
        </w:rPr>
        <w:t>BR    $</w:t>
      </w:r>
      <w:r w:rsidR="00805E68">
        <w:rPr>
          <w:b/>
        </w:rPr>
        <w:t>892</w:t>
      </w:r>
      <w:r>
        <w:t xml:space="preserve">                       </w:t>
      </w:r>
      <w:r w:rsidR="00805E68">
        <w:t>1</w:t>
      </w:r>
      <w:r>
        <w:t xml:space="preserve"> </w:t>
      </w:r>
      <w:proofErr w:type="gramStart"/>
      <w:r>
        <w:t>BR  $</w:t>
      </w:r>
      <w:proofErr w:type="gramEnd"/>
      <w:r w:rsidR="00805E68">
        <w:t>1,010</w:t>
      </w:r>
      <w:r>
        <w:t xml:space="preserve"> </w:t>
      </w:r>
      <w:r w:rsidR="00805E68">
        <w:t xml:space="preserve"> </w:t>
      </w:r>
      <w:r>
        <w:t>(90% = $</w:t>
      </w:r>
      <w:r w:rsidR="00805E68">
        <w:t>909</w:t>
      </w:r>
      <w:r>
        <w:t xml:space="preserve"> - $17 utility allowance) </w:t>
      </w:r>
    </w:p>
    <w:p w14:paraId="417A8B55" w14:textId="22357622" w:rsidR="00905E31" w:rsidRDefault="00E2445F">
      <w:pPr>
        <w:numPr>
          <w:ilvl w:val="0"/>
          <w:numId w:val="1"/>
        </w:numPr>
        <w:ind w:hanging="180"/>
      </w:pPr>
      <w:r>
        <w:rPr>
          <w:b/>
        </w:rPr>
        <w:t>BR   $</w:t>
      </w:r>
      <w:r w:rsidR="00805E68">
        <w:rPr>
          <w:b/>
        </w:rPr>
        <w:t>1,059</w:t>
      </w:r>
      <w:r>
        <w:rPr>
          <w:b/>
        </w:rPr>
        <w:t xml:space="preserve"> </w:t>
      </w:r>
      <w:r>
        <w:t xml:space="preserve">                    2 </w:t>
      </w:r>
      <w:proofErr w:type="gramStart"/>
      <w:r>
        <w:t>BR  $</w:t>
      </w:r>
      <w:proofErr w:type="gramEnd"/>
      <w:r w:rsidR="00D51F54">
        <w:t>1,</w:t>
      </w:r>
      <w:r w:rsidR="00805E68">
        <w:t>200</w:t>
      </w:r>
      <w:r>
        <w:t xml:space="preserve">  (90% = $</w:t>
      </w:r>
      <w:r w:rsidR="006F4927">
        <w:t>1,0</w:t>
      </w:r>
      <w:r w:rsidR="00805E68">
        <w:t>80</w:t>
      </w:r>
      <w:r>
        <w:t xml:space="preserve"> - $21 utility allowance) </w:t>
      </w:r>
    </w:p>
    <w:p w14:paraId="493F4AB4" w14:textId="3300D76F" w:rsidR="00E2445F" w:rsidRDefault="00E2445F">
      <w:pPr>
        <w:numPr>
          <w:ilvl w:val="0"/>
          <w:numId w:val="1"/>
        </w:numPr>
        <w:ind w:hanging="180"/>
      </w:pPr>
      <w:r>
        <w:rPr>
          <w:b/>
        </w:rPr>
        <w:t>BR   $1</w:t>
      </w:r>
      <w:r w:rsidR="00805E68">
        <w:rPr>
          <w:b/>
        </w:rPr>
        <w:t>,317</w:t>
      </w:r>
      <w:r>
        <w:t xml:space="preserve">                     3 </w:t>
      </w:r>
      <w:proofErr w:type="gramStart"/>
      <w:r>
        <w:t>BR  $</w:t>
      </w:r>
      <w:proofErr w:type="gramEnd"/>
      <w:r>
        <w:t>1,</w:t>
      </w:r>
      <w:r w:rsidR="006F4927">
        <w:t>4</w:t>
      </w:r>
      <w:r w:rsidR="00805E68">
        <w:t>90</w:t>
      </w:r>
      <w:r>
        <w:t xml:space="preserve"> (90% = $1,</w:t>
      </w:r>
      <w:r w:rsidR="00805E68">
        <w:t>341</w:t>
      </w:r>
      <w:r>
        <w:t xml:space="preserve"> - $24 utility allowance)       </w:t>
      </w:r>
    </w:p>
    <w:p w14:paraId="154019B1" w14:textId="041819B2" w:rsidR="00905E31" w:rsidRDefault="00E2445F">
      <w:pPr>
        <w:numPr>
          <w:ilvl w:val="0"/>
          <w:numId w:val="1"/>
        </w:numPr>
        <w:ind w:hanging="180"/>
      </w:pPr>
      <w:r>
        <w:rPr>
          <w:b/>
        </w:rPr>
        <w:t>BR   $1,</w:t>
      </w:r>
      <w:r w:rsidR="00805E68">
        <w:rPr>
          <w:b/>
        </w:rPr>
        <w:t>431</w:t>
      </w:r>
      <w:r>
        <w:t xml:space="preserve">                     4 </w:t>
      </w:r>
      <w:proofErr w:type="gramStart"/>
      <w:r>
        <w:t>BR  $</w:t>
      </w:r>
      <w:proofErr w:type="gramEnd"/>
      <w:r>
        <w:t>1,</w:t>
      </w:r>
      <w:r w:rsidR="00805E68">
        <w:t>620</w:t>
      </w:r>
      <w:r>
        <w:t xml:space="preserve"> (90% = $1,</w:t>
      </w:r>
      <w:r w:rsidR="00805E68">
        <w:t>458</w:t>
      </w:r>
      <w:r>
        <w:t xml:space="preserve"> - $27 utility allowance) </w:t>
      </w:r>
    </w:p>
    <w:p w14:paraId="57265EA9" w14:textId="77777777" w:rsidR="00905E31" w:rsidRDefault="00E2445F">
      <w:pPr>
        <w:spacing w:after="0" w:line="259" w:lineRule="auto"/>
        <w:ind w:left="0" w:firstLine="0"/>
      </w:pPr>
      <w:r>
        <w:t xml:space="preserve"> </w:t>
      </w:r>
    </w:p>
    <w:p w14:paraId="760A5E8B" w14:textId="63801B74" w:rsidR="00905E31" w:rsidRDefault="00E2445F">
      <w:pPr>
        <w:ind w:left="-5"/>
      </w:pPr>
      <w:r>
        <w:t xml:space="preserve">Please feel free to call the office with any questions you may have. </w:t>
      </w:r>
    </w:p>
    <w:p w14:paraId="11E1EA43" w14:textId="4579619A" w:rsidR="00905E31" w:rsidRDefault="00E2445F">
      <w:pPr>
        <w:spacing w:after="0" w:line="259" w:lineRule="auto"/>
        <w:ind w:left="0" w:firstLine="0"/>
      </w:pPr>
      <w:r>
        <w:t xml:space="preserve">  </w:t>
      </w:r>
    </w:p>
    <w:p w14:paraId="22E4D94B" w14:textId="7A868C75" w:rsidR="00905E31" w:rsidRDefault="00E2445F">
      <w:pPr>
        <w:ind w:left="-5" w:right="6201"/>
      </w:pPr>
      <w:r>
        <w:t xml:space="preserve">Jennifer Maciejewski </w:t>
      </w:r>
      <w:r w:rsidR="006F4927">
        <w:br/>
        <w:t xml:space="preserve">Executive </w:t>
      </w:r>
      <w:r>
        <w:t xml:space="preserve">Director </w:t>
      </w:r>
    </w:p>
    <w:p w14:paraId="0DD42A82" w14:textId="77777777" w:rsidR="00E2445F" w:rsidRDefault="00E2445F">
      <w:pPr>
        <w:ind w:left="-5" w:right="6201"/>
      </w:pPr>
    </w:p>
    <w:p w14:paraId="011DC7A0" w14:textId="4757EFD1" w:rsidR="00905E31" w:rsidRDefault="00E2445F" w:rsidP="00E2445F">
      <w:pPr>
        <w:spacing w:after="0" w:line="259" w:lineRule="auto"/>
        <w:ind w:left="0" w:firstLine="0"/>
      </w:pPr>
      <w:r>
        <w:rPr>
          <w:rFonts w:ascii="Calibri" w:eastAsia="Calibri" w:hAnsi="Calibri" w:cs="Calibri"/>
          <w:sz w:val="22"/>
        </w:rPr>
        <w:t xml:space="preserve">  </w:t>
      </w:r>
    </w:p>
    <w:p w14:paraId="1B27D3B6" w14:textId="4A4BE8E8" w:rsidR="00905E31" w:rsidRDefault="00E2445F" w:rsidP="00E2445F">
      <w:pPr>
        <w:spacing w:after="0" w:line="259" w:lineRule="auto"/>
        <w:ind w:left="-5"/>
      </w:pPr>
      <w:r>
        <w:rPr>
          <w:rFonts w:ascii="Calibri" w:eastAsia="Calibri" w:hAnsi="Calibri" w:cs="Calibri"/>
          <w:b/>
          <w:sz w:val="22"/>
        </w:rPr>
        <w:t>2906 6</w:t>
      </w:r>
      <w:r>
        <w:rPr>
          <w:rFonts w:ascii="Calibri" w:eastAsia="Calibri" w:hAnsi="Calibri" w:cs="Calibri"/>
          <w:b/>
          <w:sz w:val="22"/>
          <w:vertAlign w:val="superscript"/>
        </w:rPr>
        <w:t>th</w:t>
      </w:r>
      <w:r>
        <w:rPr>
          <w:rFonts w:ascii="Calibri" w:eastAsia="Calibri" w:hAnsi="Calibri" w:cs="Calibri"/>
          <w:b/>
          <w:sz w:val="22"/>
        </w:rPr>
        <w:t xml:space="preserve"> Avenue, South Milwaukee, WI  53172 Phone: (414) 762-4114 | Fax: (414) 762-7271 </w:t>
      </w:r>
      <w:r>
        <w:rPr>
          <w:rFonts w:ascii="Calibri" w:eastAsia="Calibri" w:hAnsi="Calibri" w:cs="Calibri"/>
          <w:sz w:val="22"/>
        </w:rPr>
        <w:t xml:space="preserve"> </w:t>
      </w:r>
    </w:p>
    <w:sectPr w:rsidR="00905E31">
      <w:pgSz w:w="12240" w:h="15840"/>
      <w:pgMar w:top="989" w:right="152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34002"/>
    <w:multiLevelType w:val="hybridMultilevel"/>
    <w:tmpl w:val="577489B2"/>
    <w:lvl w:ilvl="0" w:tplc="FDE261CE">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DADC50">
      <w:start w:val="1"/>
      <w:numFmt w:val="lowerLetter"/>
      <w:lvlText w:val="%2"/>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E6893E">
      <w:start w:val="1"/>
      <w:numFmt w:val="lowerRoman"/>
      <w:lvlText w:val="%3"/>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8D34C">
      <w:start w:val="1"/>
      <w:numFmt w:val="decimal"/>
      <w:lvlText w:val="%4"/>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BA967A">
      <w:start w:val="1"/>
      <w:numFmt w:val="lowerLetter"/>
      <w:lvlText w:val="%5"/>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489C8">
      <w:start w:val="1"/>
      <w:numFmt w:val="lowerRoman"/>
      <w:lvlText w:val="%6"/>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20CD6">
      <w:start w:val="1"/>
      <w:numFmt w:val="decimal"/>
      <w:lvlText w:val="%7"/>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E627C">
      <w:start w:val="1"/>
      <w:numFmt w:val="lowerLetter"/>
      <w:lvlText w:val="%8"/>
      <w:lvlJc w:val="left"/>
      <w:pPr>
        <w:ind w:left="7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405CE">
      <w:start w:val="1"/>
      <w:numFmt w:val="lowerRoman"/>
      <w:lvlText w:val="%9"/>
      <w:lvlJc w:val="left"/>
      <w:pPr>
        <w:ind w:left="8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5224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31"/>
    <w:rsid w:val="004A6824"/>
    <w:rsid w:val="006F4927"/>
    <w:rsid w:val="00805E68"/>
    <w:rsid w:val="00905E31"/>
    <w:rsid w:val="00D51F54"/>
    <w:rsid w:val="00E2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1F79"/>
  <w15:docId w15:val="{AE4B0CED-2D7F-4AE8-99BC-CBBDA9EB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cp:lastModifiedBy>CDA Office</cp:lastModifiedBy>
  <cp:revision>2</cp:revision>
  <dcterms:created xsi:type="dcterms:W3CDTF">2024-09-17T20:11:00Z</dcterms:created>
  <dcterms:modified xsi:type="dcterms:W3CDTF">2024-09-17T20:11:00Z</dcterms:modified>
</cp:coreProperties>
</file>